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8FB" w14:textId="1F9BA951"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1"/>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2"/>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lastRenderedPageBreak/>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3"/>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77777777"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5336AC" w:rsidRPr="00C66CA0">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77777777"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588DD8F3"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dofinansowania niestanowiącego pomocy publicznej ani pomocy</w:t>
      </w:r>
      <w:r w:rsidRPr="00C66CA0">
        <w:rPr>
          <w:rFonts w:ascii="Calibri" w:hAnsi="Calibri"/>
          <w:b/>
          <w:i/>
          <w:sz w:val="20"/>
        </w:rPr>
        <w:t xml:space="preserve"> de minimis]</w:t>
      </w:r>
      <w:r w:rsidRPr="00C66CA0">
        <w:rPr>
          <w:rFonts w:ascii="Calibri" w:hAnsi="Calibri"/>
          <w:b/>
          <w:sz w:val="22"/>
        </w:rPr>
        <w:t xml:space="preserve">… </w:t>
      </w:r>
      <w:r w:rsidRPr="00C66CA0">
        <w:rPr>
          <w:rFonts w:ascii="Calibri" w:hAnsi="Calibri"/>
          <w:sz w:val="22"/>
        </w:rPr>
        <w:t xml:space="preserve">PLN stanowi dofinansowanie niebędące </w:t>
      </w:r>
      <w:r w:rsidRPr="00C66CA0">
        <w:rPr>
          <w:rFonts w:ascii="Calibri" w:hAnsi="Calibri"/>
          <w:sz w:val="22"/>
        </w:rPr>
        <w:lastRenderedPageBreak/>
        <w:t xml:space="preserve">pomocą publiczną ani pomocą </w:t>
      </w:r>
      <w:r w:rsidRPr="00C66CA0">
        <w:rPr>
          <w:rFonts w:ascii="Calibri" w:hAnsi="Calibri"/>
          <w:i/>
          <w:sz w:val="22"/>
        </w:rPr>
        <w:t>de minimis</w:t>
      </w:r>
      <w:r w:rsidRPr="00C66CA0">
        <w:rPr>
          <w:rFonts w:ascii="Calibri" w:hAnsi="Calibri"/>
          <w:sz w:val="22"/>
        </w:rPr>
        <w:t xml:space="preserve">,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4"/>
      </w:r>
      <w:r w:rsidRPr="00C66CA0">
        <w:rPr>
          <w:rFonts w:ascii="Calibri" w:hAnsi="Calibri"/>
          <w:sz w:val="22"/>
        </w:rPr>
        <w:t>.</w:t>
      </w:r>
    </w:p>
    <w:bookmarkEnd w:id="1"/>
    <w:p w14:paraId="19F90D2B" w14:textId="77777777"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5"/>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6"/>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7"/>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8"/>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9"/>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0"/>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1"/>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2"/>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3"/>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4"/>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5"/>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6"/>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7"/>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18"/>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19"/>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0"/>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2"/>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43411112" w:rsidR="00FA3316" w:rsidRPr="008F2F8F"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w:t>
      </w:r>
      <w:r w:rsidRPr="00522357">
        <w:rPr>
          <w:rFonts w:ascii="Calibri" w:hAnsi="Calibri"/>
          <w:bCs/>
          <w:spacing w:val="-6"/>
          <w:sz w:val="22"/>
          <w:szCs w:val="22"/>
        </w:rPr>
        <w:t xml:space="preserve">ramach programu regionalnego Fundusze Europejskie dla Pomorza 2021-2027 - dokument przyjęty uchwałą nr </w:t>
      </w:r>
      <w:r w:rsidR="00522357" w:rsidRPr="00522357">
        <w:rPr>
          <w:rFonts w:ascii="Calibri" w:hAnsi="Calibri"/>
          <w:b/>
          <w:bCs/>
          <w:spacing w:val="-6"/>
          <w:sz w:val="22"/>
          <w:szCs w:val="22"/>
        </w:rPr>
        <w:t>7/RIII/2025</w:t>
      </w:r>
      <w:r w:rsidRPr="00522357">
        <w:rPr>
          <w:rFonts w:ascii="Calibri" w:hAnsi="Calibri"/>
          <w:bCs/>
          <w:spacing w:val="-6"/>
          <w:sz w:val="22"/>
          <w:szCs w:val="22"/>
        </w:rPr>
        <w:t xml:space="preserve"> </w:t>
      </w:r>
      <w:r w:rsidR="0059448B" w:rsidRPr="00522357">
        <w:rPr>
          <w:rFonts w:ascii="Calibri" w:hAnsi="Calibri"/>
          <w:bCs/>
          <w:spacing w:val="-6"/>
          <w:sz w:val="22"/>
          <w:szCs w:val="22"/>
        </w:rPr>
        <w:t>Lokalnej Grupy Działania</w:t>
      </w:r>
      <w:r w:rsidR="00522357" w:rsidRPr="00522357">
        <w:rPr>
          <w:rFonts w:ascii="Calibri" w:hAnsi="Calibri"/>
          <w:bCs/>
          <w:spacing w:val="-6"/>
          <w:sz w:val="22"/>
          <w:szCs w:val="22"/>
        </w:rPr>
        <w:t xml:space="preserve"> Ziemi Człuchowskiej</w:t>
      </w:r>
      <w:r w:rsidR="0059448B" w:rsidRPr="00522357">
        <w:rPr>
          <w:rFonts w:ascii="Calibri" w:hAnsi="Calibri"/>
          <w:bCs/>
          <w:spacing w:val="-6"/>
          <w:sz w:val="22"/>
          <w:szCs w:val="22"/>
        </w:rPr>
        <w:t xml:space="preserve"> </w:t>
      </w:r>
      <w:r w:rsidRPr="00522357">
        <w:rPr>
          <w:rFonts w:ascii="Calibri" w:hAnsi="Calibri"/>
          <w:bCs/>
          <w:spacing w:val="-6"/>
          <w:sz w:val="22"/>
          <w:szCs w:val="22"/>
        </w:rPr>
        <w:t xml:space="preserve">z dnia </w:t>
      </w:r>
      <w:r w:rsidR="00522357" w:rsidRPr="00522357">
        <w:rPr>
          <w:rFonts w:ascii="Calibri" w:hAnsi="Calibri"/>
          <w:b/>
          <w:bCs/>
          <w:spacing w:val="-6"/>
          <w:sz w:val="22"/>
          <w:szCs w:val="22"/>
        </w:rPr>
        <w:t xml:space="preserve">28.02.2025 </w:t>
      </w:r>
      <w:r w:rsidRPr="00522357">
        <w:rPr>
          <w:rFonts w:ascii="Calibri" w:hAnsi="Calibri"/>
          <w:bCs/>
          <w:spacing w:val="-6"/>
          <w:sz w:val="22"/>
          <w:szCs w:val="22"/>
        </w:rPr>
        <w:t xml:space="preserve">r. – dalej: „Regulamin </w:t>
      </w:r>
      <w:r w:rsidR="000A17EC" w:rsidRPr="00522357">
        <w:rPr>
          <w:rFonts w:ascii="Calibri" w:hAnsi="Calibri"/>
          <w:bCs/>
          <w:spacing w:val="-6"/>
          <w:sz w:val="22"/>
          <w:szCs w:val="22"/>
        </w:rPr>
        <w:t>naboru wniosków</w:t>
      </w:r>
      <w:r w:rsidRPr="00522357">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21E6434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69298445"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D7695F">
        <w:rPr>
          <w:rFonts w:ascii="Calibri" w:hAnsi="Calibri"/>
          <w:sz w:val="22"/>
          <w:szCs w:val="22"/>
        </w:rPr>
        <w:t>5</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3BBDBC9A"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3"/>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4"/>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5"/>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777777"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E7227C">
        <w:rPr>
          <w:rFonts w:ascii="Calibri" w:hAnsi="Calibri"/>
          <w:bCs/>
          <w:sz w:val="22"/>
          <w:szCs w:val="22"/>
        </w:rPr>
        <w:t>5</w:t>
      </w:r>
      <w:r w:rsidRPr="00C66CA0">
        <w:rPr>
          <w:rFonts w:ascii="Calibri" w:hAnsi="Calibri"/>
          <w:bCs/>
          <w:sz w:val="22"/>
          <w:szCs w:val="22"/>
        </w:rPr>
        <w:t xml:space="preserve">0 000 złotych netto,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E7227C">
        <w:rPr>
          <w:rFonts w:ascii="Calibri" w:hAnsi="Calibri"/>
          <w:bCs/>
          <w:sz w:val="22"/>
          <w:szCs w:val="22"/>
        </w:rPr>
        <w:t>5</w:t>
      </w:r>
      <w:r w:rsidRPr="00C66CA0">
        <w:rPr>
          <w:rFonts w:ascii="Calibri" w:hAnsi="Calibri"/>
          <w:bCs/>
          <w:sz w:val="22"/>
          <w:szCs w:val="22"/>
        </w:rPr>
        <w:t xml:space="preserve">0 000 złotych netto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lastRenderedPageBreak/>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26"/>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9"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w:t>
      </w:r>
      <w:r w:rsidRPr="00C66CA0">
        <w:rPr>
          <w:rFonts w:ascii="Calibri" w:hAnsi="Calibri"/>
          <w:sz w:val="22"/>
          <w:szCs w:val="22"/>
        </w:rPr>
        <w:lastRenderedPageBreak/>
        <w:t xml:space="preserve">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lastRenderedPageBreak/>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27"/>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77777777"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6C53E158"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oraz 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29"/>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lastRenderedPageBreak/>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lastRenderedPageBreak/>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w:t>
      </w:r>
      <w:r w:rsidR="00F36909" w:rsidRPr="006F4E2C">
        <w:rPr>
          <w:rFonts w:asciiTheme="minorHAnsi" w:hAnsiTheme="minorHAnsi" w:cstheme="minorHAnsi"/>
          <w:sz w:val="22"/>
          <w:szCs w:val="22"/>
        </w:rPr>
        <w:lastRenderedPageBreak/>
        <w:t>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3427BA97"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ex ante</w:t>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77777777"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lastRenderedPageBreak/>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w:t>
      </w:r>
      <w:r w:rsidRPr="00C66CA0">
        <w:rPr>
          <w:rFonts w:ascii="Calibri" w:hAnsi="Calibri"/>
          <w:spacing w:val="-2"/>
          <w:sz w:val="22"/>
          <w:szCs w:val="22"/>
        </w:rPr>
        <w:lastRenderedPageBreak/>
        <w:t xml:space="preserve">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77777777"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20"/>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12C19D1F">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2"/>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77777777"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p>
    <w:p w14:paraId="2A56119C" w14:textId="4320BF93"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portalu </w:t>
      </w:r>
      <w:hyperlink r:id="rId22"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Tablicę informacyjną umieść w miejscu realizacji projektu, np. tam, gdzie prowadzone są prace budowlane lub infrastrukturalne. </w:t>
      </w:r>
    </w:p>
    <w:p w14:paraId="56B7FE0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tablica powinna znajdować się na lub przed siedzibą beneficjenta.</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prowadzisz prace w kilku lokalizacjach, należy ustawić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lastRenderedPageBreak/>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9F2E4E8"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portalu </w:t>
      </w:r>
      <w:hyperlink r:id="rId24"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t>Gdzie umieścić plakat?</w:t>
      </w:r>
      <w:bookmarkEnd w:id="103"/>
      <w:bookmarkEnd w:id="104"/>
      <w:bookmarkEnd w:id="105"/>
      <w:bookmarkEnd w:id="106"/>
      <w:bookmarkEnd w:id="107"/>
      <w:bookmarkEnd w:id="108"/>
      <w:bookmarkEnd w:id="109"/>
    </w:p>
    <w:p w14:paraId="278C6EC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1AB6BD78"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3982B677" w14:textId="77777777" w:rsidR="0069385B" w:rsidRDefault="0069385B" w:rsidP="0069385B">
      <w:pPr>
        <w:spacing w:line="276" w:lineRule="auto"/>
        <w:ind w:right="248"/>
        <w:rPr>
          <w:rFonts w:asciiTheme="minorHAnsi" w:hAnsiTheme="minorHAnsi" w:cstheme="minorHAnsi"/>
          <w:sz w:val="22"/>
          <w:szCs w:val="22"/>
        </w:rPr>
      </w:pPr>
      <w:hyperlink r:id="rId28" w:history="1">
        <w:r w:rsidRPr="00F15585">
          <w:rPr>
            <w:rStyle w:val="Hipercze"/>
            <w:rFonts w:asciiTheme="minorHAnsi" w:hAnsiTheme="minorHAnsi" w:cstheme="minorHAnsi"/>
            <w:sz w:val="22"/>
            <w:szCs w:val="22"/>
          </w:rPr>
          <w:t>https://www.funduszeeuropejskie.gov.pl/strony/o-funduszach/fundusze-2021-2027/prawo-i-dokumenty/zasady-komunikacji-fe/</w:t>
        </w:r>
      </w:hyperlink>
      <w:r w:rsidRPr="00F15585">
        <w:rPr>
          <w:rFonts w:asciiTheme="minorHAnsi" w:hAnsiTheme="minorHAnsi" w:cstheme="minorHAnsi"/>
          <w:sz w:val="22"/>
          <w:szCs w:val="22"/>
        </w:rPr>
        <w:t xml:space="preserve"> </w:t>
      </w: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1B9FD359"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33"/>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wskazanie rodzaju wydatku (bieżący/inwestycyjny);</w:t>
      </w:r>
    </w:p>
    <w:p w14:paraId="3AB1110F" w14:textId="61B76DE1"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r>
        <w:rPr>
          <w:rFonts w:ascii="Calibri" w:hAnsi="Calibri"/>
          <w:sz w:val="22"/>
          <w:szCs w:val="22"/>
        </w:rPr>
        <w:t xml:space="preserve">finansowanie krzyżowe </w:t>
      </w:r>
      <w:r w:rsidRPr="00736246">
        <w:rPr>
          <w:rFonts w:ascii="Calibri" w:hAnsi="Calibri"/>
          <w:sz w:val="22"/>
          <w:szCs w:val="22"/>
        </w:rPr>
        <w:t>c</w:t>
      </w:r>
      <w:r w:rsidRPr="005D35F1">
        <w:rPr>
          <w:rFonts w:ascii="Calibri" w:hAnsi="Calibri"/>
          <w:sz w:val="22"/>
          <w:szCs w:val="22"/>
        </w:rPr>
        <w:t xml:space="preserve">, zakup gruntu) oraz nazwę </w:t>
      </w:r>
      <w:r>
        <w:rPr>
          <w:rFonts w:ascii="Calibri" w:hAnsi="Calibri"/>
          <w:sz w:val="22"/>
          <w:szCs w:val="22"/>
        </w:rPr>
        <w:t>zadania</w:t>
      </w:r>
      <w:r w:rsidR="006F4E2C">
        <w:rPr>
          <w:rStyle w:val="Odwoanieprzypisudolnego"/>
          <w:rFonts w:ascii="Calibri" w:hAnsi="Calibri"/>
          <w:sz w:val="22"/>
          <w:szCs w:val="22"/>
        </w:rPr>
        <w:footnoteReference w:id="34"/>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lastRenderedPageBreak/>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0096D432" w14:textId="67660A74" w:rsidR="00536D4C" w:rsidRDefault="00536D4C" w:rsidP="0069385B">
      <w:pPr>
        <w:spacing w:afterLines="40" w:after="96" w:line="276" w:lineRule="auto"/>
        <w:rPr>
          <w:sz w:val="22"/>
          <w:szCs w:val="22"/>
        </w:rPr>
      </w:pPr>
    </w:p>
    <w:p w14:paraId="50AC04CB" w14:textId="47FC73C5" w:rsidR="00536D4C" w:rsidRDefault="00536D4C" w:rsidP="0069385B">
      <w:pPr>
        <w:spacing w:afterLines="40" w:after="96" w:line="276" w:lineRule="auto"/>
        <w:rPr>
          <w:sz w:val="22"/>
          <w:szCs w:val="22"/>
        </w:rPr>
      </w:pPr>
    </w:p>
    <w:p w14:paraId="3AF21B8B" w14:textId="0334F9AA" w:rsidR="00536D4C" w:rsidRDefault="00536D4C" w:rsidP="0069385B">
      <w:pPr>
        <w:spacing w:afterLines="40" w:after="96" w:line="276" w:lineRule="auto"/>
        <w:rPr>
          <w:sz w:val="22"/>
          <w:szCs w:val="22"/>
        </w:rPr>
      </w:pPr>
    </w:p>
    <w:p w14:paraId="225A8EFB" w14:textId="675A13D9" w:rsidR="00536D4C" w:rsidRDefault="00536D4C" w:rsidP="0069385B">
      <w:pPr>
        <w:spacing w:afterLines="40" w:after="96" w:line="276" w:lineRule="auto"/>
        <w:rPr>
          <w:sz w:val="22"/>
          <w:szCs w:val="22"/>
        </w:rPr>
      </w:pPr>
    </w:p>
    <w:p w14:paraId="05B862BF" w14:textId="77777777" w:rsidR="00536D4C" w:rsidRPr="00ED7442"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5"/>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35"/>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36"/>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37"/>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38"/>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6" w:name="_Hlk125024561"/>
            <w:r w:rsidRPr="00ED610B">
              <w:rPr>
                <w:rFonts w:ascii="Calibri" w:hAnsi="Calibri" w:cs="Calibri"/>
                <w:sz w:val="22"/>
                <w:szCs w:val="22"/>
              </w:rPr>
              <w:t>w tym przekazanie zaproszeń co najmniej</w:t>
            </w:r>
            <w:bookmarkEnd w:id="15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7"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7"/>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39"/>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1E29" w14:textId="77777777" w:rsidR="00D43BBE" w:rsidRDefault="00D43BBE">
      <w:r>
        <w:separator/>
      </w:r>
    </w:p>
  </w:endnote>
  <w:endnote w:type="continuationSeparator" w:id="0">
    <w:p w14:paraId="12CAB5DE" w14:textId="77777777" w:rsidR="00D43BBE" w:rsidRDefault="00D4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60720F4B" w:rsidR="0026371F" w:rsidRPr="004F1100" w:rsidRDefault="0026371F"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522357">
      <w:rPr>
        <w:rFonts w:ascii="Calibri" w:hAnsi="Calibri"/>
        <w:b/>
        <w:bCs/>
        <w:i/>
        <w:noProof/>
        <w:sz w:val="22"/>
      </w:rPr>
      <w:t>30</w:t>
    </w:r>
    <w:r>
      <w:rPr>
        <w:rFonts w:ascii="Calibri" w:hAnsi="Calibri"/>
        <w:b/>
        <w:bCs/>
        <w:i/>
        <w:sz w:val="22"/>
      </w:rPr>
      <w:fldChar w:fldCharType="end"/>
    </w:r>
  </w:p>
  <w:p w14:paraId="771BB24E" w14:textId="77777777" w:rsidR="0026371F" w:rsidRDefault="002637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26371F" w:rsidRDefault="0026371F"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26371F" w:rsidRDefault="0026371F" w:rsidP="00EA694E">
    <w:pPr>
      <w:pStyle w:val="Stopka"/>
      <w:jc w:val="center"/>
      <w:rPr>
        <w:rFonts w:ascii="Calibri" w:hAnsi="Calibri"/>
        <w:i/>
        <w:sz w:val="22"/>
      </w:rPr>
    </w:pPr>
  </w:p>
  <w:p w14:paraId="5472AEBB" w14:textId="5D2D2EA4" w:rsidR="0026371F" w:rsidRPr="004F1100" w:rsidRDefault="0026371F"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522357">
      <w:rPr>
        <w:rFonts w:ascii="Calibri" w:hAnsi="Calibri"/>
        <w:b/>
        <w:bCs/>
        <w:i/>
        <w:noProof/>
        <w:sz w:val="22"/>
      </w:rPr>
      <w:t>30</w:t>
    </w:r>
    <w:r>
      <w:rPr>
        <w:rFonts w:ascii="Calibri" w:hAnsi="Calibri"/>
        <w:b/>
        <w:bCs/>
        <w:i/>
        <w:sz w:val="22"/>
      </w:rPr>
      <w:fldChar w:fldCharType="end"/>
    </w:r>
  </w:p>
  <w:p w14:paraId="4EA62D26" w14:textId="77777777" w:rsidR="0026371F" w:rsidRDefault="00263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D7AC" w14:textId="77777777" w:rsidR="00D43BBE" w:rsidRDefault="00D43BBE">
      <w:r>
        <w:separator/>
      </w:r>
    </w:p>
  </w:footnote>
  <w:footnote w:type="continuationSeparator" w:id="0">
    <w:p w14:paraId="268D829E" w14:textId="77777777" w:rsidR="00D43BBE" w:rsidRDefault="00D43BBE">
      <w:r>
        <w:continuationSeparator/>
      </w:r>
    </w:p>
  </w:footnote>
  <w:footnote w:id="1">
    <w:p w14:paraId="4CCA9F1D" w14:textId="3D66FD5E" w:rsidR="0026371F" w:rsidRDefault="0026371F">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2">
    <w:p w14:paraId="3FE87AFA" w14:textId="177FCEC2" w:rsidR="0026371F" w:rsidRDefault="0026371F">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3">
    <w:p w14:paraId="393936CC" w14:textId="200774E5" w:rsidR="0026371F" w:rsidRDefault="0026371F">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4">
    <w:p w14:paraId="54C8D84A" w14:textId="59F2BCD1" w:rsidR="0026371F" w:rsidRDefault="0026371F">
      <w:pPr>
        <w:pStyle w:val="Tekstprzypisudolnego"/>
      </w:pPr>
      <w:r>
        <w:rPr>
          <w:rStyle w:val="Odwoanieprzypisudolnego"/>
        </w:rPr>
        <w:footnoteRef/>
      </w:r>
      <w:r>
        <w:t xml:space="preserve"> </w:t>
      </w:r>
      <w:r w:rsidRPr="00DD119B">
        <w:t>Dotyczy projektów, w których występuje pomoc publiczna lub pomoc de minimis.</w:t>
      </w:r>
    </w:p>
  </w:footnote>
  <w:footnote w:id="5">
    <w:p w14:paraId="63A2215B" w14:textId="3956FD84" w:rsidR="0026371F" w:rsidRDefault="0026371F">
      <w:pPr>
        <w:pStyle w:val="Tekstprzypisudolnego"/>
      </w:pPr>
      <w:r>
        <w:rPr>
          <w:rStyle w:val="Odwoanieprzypisudolnego"/>
        </w:rPr>
        <w:footnoteRef/>
      </w:r>
      <w:r>
        <w:t xml:space="preserve"> </w:t>
      </w:r>
      <w:r w:rsidRPr="00DD119B">
        <w:t>Dz. Urz. UE C 262 z 19.07.2016 r., s. 1.</w:t>
      </w:r>
    </w:p>
  </w:footnote>
  <w:footnote w:id="6">
    <w:p w14:paraId="3622DAE2" w14:textId="0174A53B" w:rsidR="0026371F" w:rsidRDefault="0026371F">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7">
    <w:p w14:paraId="6E437440" w14:textId="54337361" w:rsidR="0026371F" w:rsidRDefault="0026371F">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8">
    <w:p w14:paraId="7596AE9A" w14:textId="5EED366F" w:rsidR="0026371F" w:rsidRDefault="0026371F">
      <w:pPr>
        <w:pStyle w:val="Tekstprzypisudolnego"/>
      </w:pPr>
      <w:r>
        <w:rPr>
          <w:rStyle w:val="Odwoanieprzypisudolnego"/>
        </w:rPr>
        <w:footnoteRef/>
      </w:r>
      <w:r>
        <w:t xml:space="preserve"> </w:t>
      </w:r>
      <w:r w:rsidRPr="00DD119B">
        <w:t>Dz. Urz. UE L 231 z 30.06.2021 r., s. 60.</w:t>
      </w:r>
    </w:p>
  </w:footnote>
  <w:footnote w:id="9">
    <w:p w14:paraId="5FF82EF1" w14:textId="2D83EC1C" w:rsidR="0026371F" w:rsidRDefault="0026371F">
      <w:pPr>
        <w:pStyle w:val="Tekstprzypisudolnego"/>
      </w:pPr>
      <w:r>
        <w:rPr>
          <w:rStyle w:val="Odwoanieprzypisudolnego"/>
        </w:rPr>
        <w:footnoteRef/>
      </w:r>
      <w:r>
        <w:t xml:space="preserve"> </w:t>
      </w:r>
      <w:r w:rsidRPr="00864880">
        <w:t>Dz. Urz. UE L 2024/2509 z 26.09.2024 r.</w:t>
      </w:r>
    </w:p>
  </w:footnote>
  <w:footnote w:id="10">
    <w:p w14:paraId="2FB55EB8" w14:textId="62978574" w:rsidR="0026371F" w:rsidRDefault="0026371F">
      <w:pPr>
        <w:pStyle w:val="Tekstprzypisudolnego"/>
      </w:pPr>
      <w:r>
        <w:rPr>
          <w:rStyle w:val="Odwoanieprzypisudolnego"/>
        </w:rPr>
        <w:footnoteRef/>
      </w:r>
      <w:r>
        <w:t xml:space="preserve"> </w:t>
      </w:r>
      <w:r w:rsidRPr="00DD119B">
        <w:t>Dz. Urz. UE L 198 z 22.06.2020 r., s. 13.</w:t>
      </w:r>
    </w:p>
  </w:footnote>
  <w:footnote w:id="11">
    <w:p w14:paraId="6243D15A" w14:textId="08EF42CF" w:rsidR="0026371F" w:rsidRDefault="0026371F">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2">
    <w:p w14:paraId="5C38F97C" w14:textId="2DA98B08" w:rsidR="0026371F" w:rsidRDefault="0026371F">
      <w:pPr>
        <w:pStyle w:val="Tekstprzypisudolnego"/>
      </w:pPr>
      <w:r>
        <w:rPr>
          <w:rStyle w:val="Odwoanieprzypisudolnego"/>
        </w:rPr>
        <w:footnoteRef/>
      </w:r>
      <w:r>
        <w:t xml:space="preserve"> </w:t>
      </w:r>
      <w:r w:rsidRPr="00DD119B">
        <w:t>Dz. Urz. UE L z 15.12.2023r. poz.2831.</w:t>
      </w:r>
    </w:p>
  </w:footnote>
  <w:footnote w:id="13">
    <w:p w14:paraId="5D2B2E6E" w14:textId="76627899" w:rsidR="0026371F" w:rsidRDefault="0026371F">
      <w:pPr>
        <w:pStyle w:val="Tekstprzypisudolnego"/>
      </w:pPr>
      <w:r>
        <w:rPr>
          <w:rStyle w:val="Odwoanieprzypisudolnego"/>
        </w:rPr>
        <w:footnoteRef/>
      </w:r>
      <w:r>
        <w:t xml:space="preserve"> </w:t>
      </w:r>
      <w:r w:rsidRPr="00DD119B">
        <w:t>Dz. Urz. UE L z 15.12.2023r. poz.2832.</w:t>
      </w:r>
    </w:p>
  </w:footnote>
  <w:footnote w:id="14">
    <w:p w14:paraId="6B9B8143" w14:textId="78A279D1" w:rsidR="0026371F" w:rsidRDefault="0026371F">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5">
    <w:p w14:paraId="25B748C0" w14:textId="44A9FFED" w:rsidR="0026371F" w:rsidRDefault="0026371F">
      <w:pPr>
        <w:pStyle w:val="Tekstprzypisudolnego"/>
      </w:pPr>
      <w:r>
        <w:rPr>
          <w:rStyle w:val="Odwoanieprzypisudolnego"/>
        </w:rPr>
        <w:footnoteRef/>
      </w:r>
      <w:r>
        <w:t xml:space="preserve"> </w:t>
      </w:r>
      <w:r w:rsidRPr="00DD119B">
        <w:t>Dz. U. z 2022 r. poz. 1079.</w:t>
      </w:r>
    </w:p>
  </w:footnote>
  <w:footnote w:id="16">
    <w:p w14:paraId="76946031" w14:textId="31DE0D59" w:rsidR="0026371F" w:rsidRDefault="0026371F">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7">
    <w:p w14:paraId="5FA0F418" w14:textId="1AFC6B3E" w:rsidR="0026371F" w:rsidRDefault="0026371F">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18">
    <w:p w14:paraId="1292F4D7" w14:textId="1294737B" w:rsidR="0026371F" w:rsidRDefault="0026371F">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19">
    <w:p w14:paraId="32D4E50A" w14:textId="2022F629" w:rsidR="0026371F" w:rsidRDefault="0026371F">
      <w:pPr>
        <w:pStyle w:val="Tekstprzypisudolnego"/>
      </w:pPr>
      <w:r>
        <w:rPr>
          <w:rStyle w:val="Odwoanieprzypisudolnego"/>
        </w:rPr>
        <w:footnoteRef/>
      </w:r>
      <w:r>
        <w:t xml:space="preserve"> </w:t>
      </w:r>
      <w:r w:rsidRPr="00DD119B">
        <w:t xml:space="preserve">Dz. U. z 2023 r. poz. 1605, z </w:t>
      </w:r>
      <w:proofErr w:type="spellStart"/>
      <w:r w:rsidRPr="00DD119B">
        <w:t>późn</w:t>
      </w:r>
      <w:proofErr w:type="spellEnd"/>
      <w:r w:rsidRPr="00DD119B">
        <w:t>. zm.</w:t>
      </w:r>
    </w:p>
  </w:footnote>
  <w:footnote w:id="20">
    <w:p w14:paraId="6001906E" w14:textId="189480BE" w:rsidR="0026371F" w:rsidRDefault="0026371F">
      <w:pPr>
        <w:pStyle w:val="Tekstprzypisudolnego"/>
      </w:pPr>
      <w:r>
        <w:rPr>
          <w:rStyle w:val="Odwoanieprzypisudolnego"/>
        </w:rPr>
        <w:footnoteRef/>
      </w:r>
      <w:r>
        <w:t xml:space="preserve"> </w:t>
      </w:r>
      <w:r w:rsidRPr="00DD119B">
        <w:t>Dz. U. z 2023 r. poz. 221.</w:t>
      </w:r>
    </w:p>
  </w:footnote>
  <w:footnote w:id="21">
    <w:p w14:paraId="4250FA93" w14:textId="128C0701" w:rsidR="0026371F" w:rsidRDefault="0026371F">
      <w:pPr>
        <w:pStyle w:val="Tekstprzypisudolnego"/>
      </w:pPr>
      <w:r>
        <w:rPr>
          <w:rStyle w:val="Odwoanieprzypisudolnego"/>
        </w:rPr>
        <w:footnoteRef/>
      </w:r>
      <w:r>
        <w:t xml:space="preserve"> </w:t>
      </w:r>
      <w:r w:rsidRPr="00DD119B">
        <w:t>Dz. U. z 2022 r. poz. 2055.</w:t>
      </w:r>
    </w:p>
  </w:footnote>
  <w:footnote w:id="22">
    <w:p w14:paraId="736864AC" w14:textId="3FA39F75" w:rsidR="0026371F" w:rsidRDefault="0026371F">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3">
    <w:p w14:paraId="5A44352A" w14:textId="380B864E" w:rsidR="0026371F" w:rsidRDefault="0026371F">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4">
    <w:p w14:paraId="1E4B18BC" w14:textId="0E134753" w:rsidR="0026371F" w:rsidRDefault="0026371F">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5">
    <w:p w14:paraId="47F8EFC6" w14:textId="0110266A" w:rsidR="0026371F" w:rsidRDefault="0026371F">
      <w:pPr>
        <w:pStyle w:val="Tekstprzypisudolnego"/>
      </w:pPr>
      <w:r>
        <w:rPr>
          <w:rStyle w:val="Odwoanieprzypisudolnego"/>
        </w:rPr>
        <w:footnoteRef/>
      </w:r>
      <w:r>
        <w:t xml:space="preserve"> </w:t>
      </w:r>
      <w:r w:rsidRPr="00DD119B">
        <w:t>Nie dotyczy wydatków rozliczanych w sposób uproszczony.</w:t>
      </w:r>
    </w:p>
  </w:footnote>
  <w:footnote w:id="26">
    <w:p w14:paraId="2736327B" w14:textId="237E352D" w:rsidR="0026371F" w:rsidRDefault="0026371F">
      <w:pPr>
        <w:pStyle w:val="Tekstprzypisudolnego"/>
      </w:pPr>
      <w:r>
        <w:rPr>
          <w:rStyle w:val="Odwoanieprzypisudolnego"/>
        </w:rPr>
        <w:footnoteRef/>
      </w:r>
      <w:r>
        <w:t xml:space="preserve"> </w:t>
      </w:r>
      <w:r w:rsidRPr="006F4E2C">
        <w:t>W przypadku współfinansowania Projektu ze środków budżetu państwa.</w:t>
      </w:r>
    </w:p>
  </w:footnote>
  <w:footnote w:id="27">
    <w:p w14:paraId="0873AAA0" w14:textId="1BD5F091" w:rsidR="0026371F" w:rsidRDefault="0026371F">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28">
    <w:p w14:paraId="44FDF4F2" w14:textId="02B34F04" w:rsidR="0026371F" w:rsidRDefault="0026371F">
      <w:pPr>
        <w:pStyle w:val="Tekstprzypisudolnego"/>
      </w:pPr>
      <w:r>
        <w:rPr>
          <w:rStyle w:val="Odwoanieprzypisudolnego"/>
        </w:rPr>
        <w:footnoteRef/>
      </w:r>
      <w:r>
        <w:t xml:space="preserve"> </w:t>
      </w:r>
      <w:r w:rsidRPr="006F4E2C">
        <w:t>Dz. U. z 2022 r. poz. 2509.</w:t>
      </w:r>
    </w:p>
  </w:footnote>
  <w:footnote w:id="29">
    <w:p w14:paraId="71D8D64D" w14:textId="7138AB6A" w:rsidR="0026371F" w:rsidRDefault="0026371F">
      <w:pPr>
        <w:pStyle w:val="Tekstprzypisudolnego"/>
      </w:pPr>
      <w:r>
        <w:rPr>
          <w:rStyle w:val="Odwoanieprzypisudolnego"/>
        </w:rPr>
        <w:footnoteRef/>
      </w:r>
      <w:r>
        <w:t xml:space="preserve"> </w:t>
      </w:r>
      <w:r w:rsidRPr="006F4E2C">
        <w:t>Zgodnie z art. 49 ust. 3 i 5 Rozporządzenia ogólnego.</w:t>
      </w:r>
    </w:p>
  </w:footnote>
  <w:footnote w:id="30">
    <w:p w14:paraId="68AFE4A4" w14:textId="3C2A1214" w:rsidR="0026371F" w:rsidRDefault="0026371F">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1">
    <w:p w14:paraId="62880F17" w14:textId="3066501E" w:rsidR="0026371F" w:rsidRDefault="0026371F">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2">
    <w:p w14:paraId="4453CB02" w14:textId="43B2AF45" w:rsidR="0026371F" w:rsidRDefault="0026371F">
      <w:pPr>
        <w:pStyle w:val="Tekstprzypisudolnego"/>
      </w:pPr>
      <w:r>
        <w:rPr>
          <w:rStyle w:val="Odwoanieprzypisudolnego"/>
        </w:rPr>
        <w:footnoteRef/>
      </w:r>
      <w:r>
        <w:t xml:space="preserve"> </w:t>
      </w:r>
      <w:r w:rsidRPr="006F4E2C">
        <w:t>Nie dotyczy tablic, plakatów, naklejek, których wzory nie mogą być zmieniane</w:t>
      </w:r>
    </w:p>
  </w:footnote>
  <w:footnote w:id="33">
    <w:p w14:paraId="6A11C6F2" w14:textId="6BEBF8F5" w:rsidR="0026371F" w:rsidRDefault="0026371F">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34">
    <w:p w14:paraId="54FF2CAD" w14:textId="17C12003" w:rsidR="0026371F" w:rsidRDefault="0026371F">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35">
    <w:p w14:paraId="45C3953A" w14:textId="61EC4A22" w:rsidR="0026371F" w:rsidRDefault="0026371F">
      <w:pPr>
        <w:pStyle w:val="Tekstprzypisudolnego"/>
      </w:pPr>
      <w:r>
        <w:rPr>
          <w:rStyle w:val="Odwoanieprzypisudolnego"/>
        </w:rPr>
        <w:footnoteRef/>
      </w:r>
      <w:r>
        <w:t xml:space="preserve"> </w:t>
      </w:r>
      <w:r w:rsidRPr="00B45D34">
        <w:t>Dz. Urz. UE C 262 z 19.07.2016 r., s. 1.</w:t>
      </w:r>
    </w:p>
  </w:footnote>
  <w:footnote w:id="36">
    <w:p w14:paraId="342978EA" w14:textId="6B25726D" w:rsidR="0026371F" w:rsidRDefault="0026371F">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37">
    <w:p w14:paraId="7DF1DED4" w14:textId="3CAAA48B" w:rsidR="0026371F" w:rsidRDefault="0026371F">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38">
    <w:p w14:paraId="43958582" w14:textId="705093FE" w:rsidR="0026371F" w:rsidRDefault="0026371F">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39">
    <w:p w14:paraId="03AA0BC8" w14:textId="6EFFD343" w:rsidR="00647DCF" w:rsidRDefault="00647DCF">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26371F" w:rsidRPr="00EA694E" w:rsidRDefault="0026371F"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26371F" w:rsidRPr="00EA694E" w:rsidRDefault="0026371F"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26371F" w:rsidRDefault="0026371F">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26371F" w:rsidRPr="00C572E3" w:rsidRDefault="0026371F"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26371F" w:rsidRPr="00911F3A" w:rsidRDefault="0026371F"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6006969">
    <w:abstractNumId w:val="46"/>
  </w:num>
  <w:num w:numId="2" w16cid:durableId="2050718444">
    <w:abstractNumId w:val="26"/>
  </w:num>
  <w:num w:numId="3" w16cid:durableId="1775443889">
    <w:abstractNumId w:val="4"/>
  </w:num>
  <w:num w:numId="4" w16cid:durableId="1051223364">
    <w:abstractNumId w:val="58"/>
  </w:num>
  <w:num w:numId="5" w16cid:durableId="1990477137">
    <w:abstractNumId w:val="19"/>
  </w:num>
  <w:num w:numId="6" w16cid:durableId="172231916">
    <w:abstractNumId w:val="52"/>
  </w:num>
  <w:num w:numId="7" w16cid:durableId="651448028">
    <w:abstractNumId w:val="59"/>
  </w:num>
  <w:num w:numId="8" w16cid:durableId="1592743065">
    <w:abstractNumId w:val="9"/>
  </w:num>
  <w:num w:numId="9" w16cid:durableId="1212693501">
    <w:abstractNumId w:val="1"/>
  </w:num>
  <w:num w:numId="10" w16cid:durableId="805007598">
    <w:abstractNumId w:val="69"/>
  </w:num>
  <w:num w:numId="11" w16cid:durableId="609552937">
    <w:abstractNumId w:val="22"/>
  </w:num>
  <w:num w:numId="12" w16cid:durableId="995301134">
    <w:abstractNumId w:val="6"/>
  </w:num>
  <w:num w:numId="13" w16cid:durableId="143593350">
    <w:abstractNumId w:val="25"/>
  </w:num>
  <w:num w:numId="14" w16cid:durableId="637540853">
    <w:abstractNumId w:val="47"/>
  </w:num>
  <w:num w:numId="15" w16cid:durableId="199514623">
    <w:abstractNumId w:val="45"/>
  </w:num>
  <w:num w:numId="16" w16cid:durableId="1592667506">
    <w:abstractNumId w:val="57"/>
  </w:num>
  <w:num w:numId="17" w16cid:durableId="569115315">
    <w:abstractNumId w:val="41"/>
  </w:num>
  <w:num w:numId="18" w16cid:durableId="1364860606">
    <w:abstractNumId w:val="40"/>
  </w:num>
  <w:num w:numId="19" w16cid:durableId="562254406">
    <w:abstractNumId w:val="33"/>
  </w:num>
  <w:num w:numId="20" w16cid:durableId="1641693338">
    <w:abstractNumId w:val="27"/>
  </w:num>
  <w:num w:numId="21" w16cid:durableId="1276673297">
    <w:abstractNumId w:val="34"/>
  </w:num>
  <w:num w:numId="22" w16cid:durableId="173035022">
    <w:abstractNumId w:val="20"/>
  </w:num>
  <w:num w:numId="23" w16cid:durableId="14618071">
    <w:abstractNumId w:val="48"/>
  </w:num>
  <w:num w:numId="24" w16cid:durableId="1997759662">
    <w:abstractNumId w:val="14"/>
  </w:num>
  <w:num w:numId="25" w16cid:durableId="828591756">
    <w:abstractNumId w:val="61"/>
  </w:num>
  <w:num w:numId="26" w16cid:durableId="580722911">
    <w:abstractNumId w:val="30"/>
  </w:num>
  <w:num w:numId="27" w16cid:durableId="602954810">
    <w:abstractNumId w:val="65"/>
  </w:num>
  <w:num w:numId="28" w16cid:durableId="1405570014">
    <w:abstractNumId w:val="60"/>
  </w:num>
  <w:num w:numId="29" w16cid:durableId="1254125755">
    <w:abstractNumId w:val="66"/>
  </w:num>
  <w:num w:numId="30" w16cid:durableId="394667429">
    <w:abstractNumId w:val="36"/>
  </w:num>
  <w:num w:numId="31" w16cid:durableId="712536390">
    <w:abstractNumId w:val="35"/>
  </w:num>
  <w:num w:numId="32" w16cid:durableId="810681597">
    <w:abstractNumId w:val="15"/>
  </w:num>
  <w:num w:numId="33" w16cid:durableId="739640057">
    <w:abstractNumId w:val="21"/>
  </w:num>
  <w:num w:numId="34" w16cid:durableId="2103525211">
    <w:abstractNumId w:val="62"/>
  </w:num>
  <w:num w:numId="35" w16cid:durableId="592474356">
    <w:abstractNumId w:val="13"/>
  </w:num>
  <w:num w:numId="36" w16cid:durableId="1083407723">
    <w:abstractNumId w:val="18"/>
  </w:num>
  <w:num w:numId="37" w16cid:durableId="1958826192">
    <w:abstractNumId w:val="5"/>
  </w:num>
  <w:num w:numId="38" w16cid:durableId="1969893055">
    <w:abstractNumId w:val="32"/>
  </w:num>
  <w:num w:numId="39" w16cid:durableId="1044014861">
    <w:abstractNumId w:val="43"/>
  </w:num>
  <w:num w:numId="40" w16cid:durableId="95056742">
    <w:abstractNumId w:val="53"/>
  </w:num>
  <w:num w:numId="41" w16cid:durableId="398603675">
    <w:abstractNumId w:val="63"/>
  </w:num>
  <w:num w:numId="42" w16cid:durableId="1296059571">
    <w:abstractNumId w:val="51"/>
  </w:num>
  <w:num w:numId="43" w16cid:durableId="489175231">
    <w:abstractNumId w:val="16"/>
  </w:num>
  <w:num w:numId="44" w16cid:durableId="2010282601">
    <w:abstractNumId w:val="31"/>
  </w:num>
  <w:num w:numId="45" w16cid:durableId="959192578">
    <w:abstractNumId w:val="56"/>
  </w:num>
  <w:num w:numId="46" w16cid:durableId="835071471">
    <w:abstractNumId w:val="64"/>
  </w:num>
  <w:num w:numId="47" w16cid:durableId="392386762">
    <w:abstractNumId w:val="68"/>
  </w:num>
  <w:num w:numId="48" w16cid:durableId="1853448019">
    <w:abstractNumId w:val="54"/>
  </w:num>
  <w:num w:numId="49" w16cid:durableId="1256743651">
    <w:abstractNumId w:val="39"/>
  </w:num>
  <w:num w:numId="50" w16cid:durableId="356586541">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035849">
    <w:abstractNumId w:val="29"/>
  </w:num>
  <w:num w:numId="52" w16cid:durableId="200436883">
    <w:abstractNumId w:val="0"/>
  </w:num>
  <w:num w:numId="53" w16cid:durableId="1472017709">
    <w:abstractNumId w:val="7"/>
  </w:num>
  <w:num w:numId="54" w16cid:durableId="102110959">
    <w:abstractNumId w:val="17"/>
  </w:num>
  <w:num w:numId="55" w16cid:durableId="1351689075">
    <w:abstractNumId w:val="10"/>
  </w:num>
  <w:num w:numId="56" w16cid:durableId="372508584">
    <w:abstractNumId w:val="67"/>
  </w:num>
  <w:num w:numId="57" w16cid:durableId="1790314446">
    <w:abstractNumId w:val="8"/>
  </w:num>
  <w:num w:numId="58" w16cid:durableId="914627445">
    <w:abstractNumId w:val="12"/>
  </w:num>
  <w:num w:numId="59" w16cid:durableId="780804676">
    <w:abstractNumId w:val="38"/>
  </w:num>
  <w:num w:numId="60" w16cid:durableId="1375933655">
    <w:abstractNumId w:val="42"/>
  </w:num>
  <w:num w:numId="61" w16cid:durableId="275718147">
    <w:abstractNumId w:val="49"/>
  </w:num>
  <w:num w:numId="62" w16cid:durableId="1483230263">
    <w:abstractNumId w:val="50"/>
  </w:num>
  <w:num w:numId="63" w16cid:durableId="1111054498">
    <w:abstractNumId w:val="28"/>
  </w:num>
  <w:num w:numId="64" w16cid:durableId="839929825">
    <w:abstractNumId w:val="23"/>
  </w:num>
  <w:num w:numId="65" w16cid:durableId="519509162">
    <w:abstractNumId w:val="37"/>
  </w:num>
  <w:num w:numId="66" w16cid:durableId="1187987345">
    <w:abstractNumId w:val="44"/>
  </w:num>
  <w:num w:numId="67" w16cid:durableId="287979114">
    <w:abstractNumId w:val="3"/>
  </w:num>
  <w:num w:numId="68" w16cid:durableId="1369261283">
    <w:abstractNumId w:val="55"/>
  </w:num>
  <w:num w:numId="69" w16cid:durableId="1362708214">
    <w:abstractNumId w:val="2"/>
  </w:num>
  <w:num w:numId="70" w16cid:durableId="1271086645">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451A"/>
    <w:rsid w:val="00464C79"/>
    <w:rsid w:val="00466B2F"/>
    <w:rsid w:val="00467A39"/>
    <w:rsid w:val="00470674"/>
    <w:rsid w:val="00470FE4"/>
    <w:rsid w:val="00471B59"/>
    <w:rsid w:val="00472846"/>
    <w:rsid w:val="00472FF6"/>
    <w:rsid w:val="00474047"/>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235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5D3F"/>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176"/>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padotacji.gov.p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hyperlink" Target="https://www.funduszeeuropejskie.gov.pl/strony/o-funduszach/fundusze-2021-2027/prawo-i-dokumenty/zasady-komunikacji-fe/" TargetMode="External"/><Relationship Id="rId10" Type="http://schemas.openxmlformats.org/officeDocument/2006/relationships/footnotes" Target="footnotes.xml"/><Relationship Id="rId19" Type="http://schemas.openxmlformats.org/officeDocument/2006/relationships/hyperlink" Target="https://funduszeuepomorskie.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apadotacji.gov.pl" TargetMode="External"/><Relationship Id="rId27" Type="http://schemas.openxmlformats.org/officeDocument/2006/relationships/image" Target="media/image7.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F1639442-E69B-48F0-85D4-729EA13458D6}">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3.xml><?xml version="1.0" encoding="utf-8"?>
<ds:datastoreItem xmlns:ds="http://schemas.openxmlformats.org/officeDocument/2006/customXml" ds:itemID="{A381C1C5-749F-4783-A755-AA219EA68078}">
  <ds:schemaRefs>
    <ds:schemaRef ds:uri="http://schemas.microsoft.com/sharepoint/v3/contenttype/forms"/>
  </ds:schemaRefs>
</ds:datastoreItem>
</file>

<file path=customXml/itemProps4.xml><?xml version="1.0" encoding="utf-8"?>
<ds:datastoreItem xmlns:ds="http://schemas.openxmlformats.org/officeDocument/2006/customXml" ds:itemID="{D36BD5BA-96FE-4381-821D-F8441C329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CD3F26-0C34-4F67-92E3-DA8EF489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49</TotalTime>
  <Pages>53</Pages>
  <Words>16356</Words>
  <Characters>110696</Characters>
  <Application>Microsoft Office Word</Application>
  <DocSecurity>0</DocSecurity>
  <Lines>922</Lines>
  <Paragraphs>253</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Monika Kobak</cp:lastModifiedBy>
  <cp:revision>13</cp:revision>
  <cp:lastPrinted>2025-02-27T18:51:00Z</cp:lastPrinted>
  <dcterms:created xsi:type="dcterms:W3CDTF">2025-02-21T16:32:00Z</dcterms:created>
  <dcterms:modified xsi:type="dcterms:W3CDTF">2025-03-05T11:43:00Z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